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884F"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632A70FE" wp14:editId="6E3DABA5">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4247267A" w14:textId="77777777" w:rsidR="005F2FD6" w:rsidRPr="00C12B1E" w:rsidRDefault="003146E0" w:rsidP="005F2FD6">
      <w:pPr>
        <w:pStyle w:val="Title"/>
        <w:rPr>
          <w:b/>
          <w:sz w:val="36"/>
          <w:szCs w:val="36"/>
        </w:rPr>
      </w:pPr>
      <w:r>
        <w:rPr>
          <w:b/>
          <w:sz w:val="36"/>
          <w:szCs w:val="36"/>
          <w:u w:val="single"/>
        </w:rPr>
        <w:t xml:space="preserve">SOCAIL STUDIES </w:t>
      </w:r>
      <w:r w:rsidR="007E49E5" w:rsidRPr="00C12B1E">
        <w:rPr>
          <w:b/>
          <w:sz w:val="36"/>
          <w:szCs w:val="36"/>
        </w:rPr>
        <w:t>Education</w:t>
      </w:r>
    </w:p>
    <w:p w14:paraId="3E9BDFD3" w14:textId="77777777" w:rsidR="00F7711F" w:rsidRDefault="003146E0" w:rsidP="003146E0">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(2017 STANDARDS)</w:t>
      </w:r>
    </w:p>
    <w:p w14:paraId="7CE682C2"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3BC85CBC" w14:textId="77777777" w:rsidTr="00F7711F">
        <w:tc>
          <w:tcPr>
            <w:tcW w:w="9350" w:type="dxa"/>
            <w:shd w:val="clear" w:color="auto" w:fill="DEEAF6" w:themeFill="accent1" w:themeFillTint="33"/>
          </w:tcPr>
          <w:p w14:paraId="323335E7" w14:textId="77777777" w:rsidR="0039143C" w:rsidRDefault="0039143C" w:rsidP="00F7711F">
            <w:pPr>
              <w:jc w:val="center"/>
              <w:rPr>
                <w:rFonts w:ascii="Georgia" w:hAnsi="Georgia" w:cs="Times New Roman"/>
                <w:b/>
                <w:sz w:val="28"/>
                <w:szCs w:val="28"/>
              </w:rPr>
            </w:pPr>
          </w:p>
          <w:p w14:paraId="71A7A845"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47EF589A"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4426D766"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1223A86"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392BF1AF"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65E39998"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67883FF2"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710A1E0C"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C2FAB38"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109A6686" w14:textId="77777777" w:rsidR="004824C2" w:rsidRDefault="004824C2" w:rsidP="00C12B1E">
      <w:pPr>
        <w:pStyle w:val="NoSpacing"/>
        <w:rPr>
          <w:rFonts w:ascii="Times New Roman" w:hAnsi="Times New Roman" w:cs="Times New Roman"/>
          <w:b/>
          <w:sz w:val="24"/>
          <w:szCs w:val="24"/>
        </w:rPr>
      </w:pPr>
    </w:p>
    <w:p w14:paraId="0E5BEE70"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7D6E44C"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0A013EDC" w14:textId="77777777" w:rsidR="00C12B1E" w:rsidRPr="00166588" w:rsidRDefault="00C12B1E" w:rsidP="00C12B1E">
      <w:pPr>
        <w:pStyle w:val="NoSpacing"/>
        <w:rPr>
          <w:rFonts w:ascii="Georgia" w:hAnsi="Georgia" w:cs="Times New Roman"/>
        </w:rPr>
      </w:pPr>
    </w:p>
    <w:p w14:paraId="6CD52C26"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490BB0C7"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6089AF9D" w14:textId="77777777" w:rsidR="00166588" w:rsidRPr="00166588" w:rsidRDefault="00166588" w:rsidP="00166588">
      <w:pPr>
        <w:pStyle w:val="NoSpacing"/>
        <w:ind w:left="720"/>
        <w:rPr>
          <w:rFonts w:ascii="Georgia" w:hAnsi="Georgia" w:cs="Times New Roman"/>
        </w:rPr>
      </w:pPr>
    </w:p>
    <w:p w14:paraId="1D22F467"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6106C924"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1EDC0FBA" w14:textId="77777777" w:rsidTr="00EC2200">
        <w:trPr>
          <w:trHeight w:val="720"/>
        </w:trPr>
        <w:tc>
          <w:tcPr>
            <w:tcW w:w="432" w:type="dxa"/>
            <w:tcBorders>
              <w:top w:val="nil"/>
              <w:bottom w:val="nil"/>
            </w:tcBorders>
            <w:vAlign w:val="bottom"/>
          </w:tcPr>
          <w:p w14:paraId="5C5F4CFB"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4F193065"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14626C29" w14:textId="77777777" w:rsidR="00D30ADE" w:rsidRPr="00166588" w:rsidRDefault="00D30ADE" w:rsidP="00DA0BD4">
            <w:pPr>
              <w:rPr>
                <w:rFonts w:ascii="Georgia" w:hAnsi="Georgia"/>
                <w:b/>
              </w:rPr>
            </w:pPr>
          </w:p>
        </w:tc>
      </w:tr>
      <w:tr w:rsidR="00D30ADE" w:rsidRPr="00166588" w14:paraId="66A1E03F" w14:textId="77777777" w:rsidTr="008E30E0">
        <w:trPr>
          <w:trHeight w:val="720"/>
        </w:trPr>
        <w:tc>
          <w:tcPr>
            <w:tcW w:w="432" w:type="dxa"/>
            <w:tcBorders>
              <w:top w:val="nil"/>
              <w:bottom w:val="nil"/>
            </w:tcBorders>
            <w:vAlign w:val="bottom"/>
          </w:tcPr>
          <w:p w14:paraId="7B541A33"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647E093E"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52356CF5" w14:textId="77777777" w:rsidR="00166588" w:rsidRPr="00166588" w:rsidRDefault="00166588" w:rsidP="00EC2200">
            <w:pPr>
              <w:rPr>
                <w:rFonts w:ascii="Georgia" w:hAnsi="Georgia"/>
                <w:b/>
              </w:rPr>
            </w:pPr>
          </w:p>
        </w:tc>
      </w:tr>
      <w:tr w:rsidR="00D30ADE" w:rsidRPr="00166588" w14:paraId="7F9157AF" w14:textId="77777777" w:rsidTr="008E30E0">
        <w:trPr>
          <w:trHeight w:val="720"/>
        </w:trPr>
        <w:tc>
          <w:tcPr>
            <w:tcW w:w="432" w:type="dxa"/>
            <w:tcBorders>
              <w:top w:val="nil"/>
              <w:bottom w:val="nil"/>
            </w:tcBorders>
            <w:vAlign w:val="bottom"/>
          </w:tcPr>
          <w:p w14:paraId="6B24CAA5"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7D7EFC25"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0B9C2057" w14:textId="77777777" w:rsidR="00D30ADE" w:rsidRPr="00166588" w:rsidRDefault="00D30ADE" w:rsidP="00DA0BD4">
            <w:pPr>
              <w:rPr>
                <w:rFonts w:ascii="Georgia" w:hAnsi="Georgia"/>
                <w:b/>
              </w:rPr>
            </w:pPr>
          </w:p>
        </w:tc>
      </w:tr>
      <w:tr w:rsidR="00D30ADE" w:rsidRPr="00166588" w14:paraId="7A665C96" w14:textId="77777777" w:rsidTr="008E30E0">
        <w:trPr>
          <w:trHeight w:val="720"/>
        </w:trPr>
        <w:tc>
          <w:tcPr>
            <w:tcW w:w="432" w:type="dxa"/>
            <w:tcBorders>
              <w:top w:val="nil"/>
              <w:bottom w:val="nil"/>
            </w:tcBorders>
            <w:vAlign w:val="bottom"/>
          </w:tcPr>
          <w:p w14:paraId="05DDC99E"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288C5B63"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2B9AA627" w14:textId="77777777" w:rsidR="00166588" w:rsidRDefault="00166588" w:rsidP="00DA0BD4">
            <w:pPr>
              <w:rPr>
                <w:rFonts w:ascii="Georgia" w:hAnsi="Georgia"/>
                <w:b/>
              </w:rPr>
            </w:pPr>
          </w:p>
          <w:p w14:paraId="66E5010E" w14:textId="77777777" w:rsidR="00D30ADE" w:rsidRPr="00166588" w:rsidRDefault="00D30ADE" w:rsidP="00DA0BD4">
            <w:pPr>
              <w:rPr>
                <w:rFonts w:ascii="Georgia" w:hAnsi="Georgia"/>
                <w:b/>
              </w:rPr>
            </w:pPr>
          </w:p>
        </w:tc>
      </w:tr>
    </w:tbl>
    <w:p w14:paraId="43FAD2EA"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87A2E8E" w14:textId="77777777" w:rsidR="00527621" w:rsidRPr="00166588" w:rsidRDefault="00D146CA"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5258C55E" w14:textId="77777777" w:rsidR="000441EE" w:rsidRPr="00166588" w:rsidRDefault="00D146CA"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32988170"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1FAA7ACF" w14:textId="77777777" w:rsidR="000441EE" w:rsidRPr="00166588" w:rsidRDefault="000441EE" w:rsidP="000A41DB">
      <w:pPr>
        <w:pStyle w:val="Checkbox"/>
        <w:tabs>
          <w:tab w:val="left" w:pos="3555"/>
        </w:tabs>
        <w:rPr>
          <w:rFonts w:ascii="Georgia" w:hAnsi="Georgia"/>
        </w:rPr>
      </w:pPr>
    </w:p>
    <w:p w14:paraId="6A3617DC" w14:textId="77777777" w:rsidR="007E49E5" w:rsidRPr="00166588" w:rsidRDefault="007E49E5" w:rsidP="000441EE">
      <w:pPr>
        <w:pStyle w:val="Title"/>
        <w:jc w:val="left"/>
        <w:rPr>
          <w:b/>
          <w:color w:val="auto"/>
          <w:sz w:val="24"/>
          <w:szCs w:val="24"/>
        </w:rPr>
      </w:pPr>
    </w:p>
    <w:p w14:paraId="383E49C2"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48A07476" w14:textId="77777777" w:rsidR="000441EE" w:rsidRPr="00166588" w:rsidRDefault="000441EE" w:rsidP="000441EE">
      <w:pPr>
        <w:pStyle w:val="Title"/>
        <w:jc w:val="left"/>
        <w:rPr>
          <w:b/>
          <w:color w:val="auto"/>
          <w:sz w:val="24"/>
          <w:szCs w:val="24"/>
        </w:rPr>
      </w:pPr>
    </w:p>
    <w:p w14:paraId="4EA0BCAA" w14:textId="77777777" w:rsidR="00D274BE" w:rsidRPr="00166588" w:rsidRDefault="00D146CA"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0772B1E2"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561EE2B3"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79EBBE52"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3C0C6FA5"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4423D6D2" w14:textId="77777777" w:rsidR="00114DBD" w:rsidRDefault="00114DBD" w:rsidP="00AF705D">
      <w:pPr>
        <w:pStyle w:val="Heading1"/>
        <w:numPr>
          <w:ilvl w:val="0"/>
          <w:numId w:val="0"/>
        </w:numPr>
        <w:ind w:left="90"/>
        <w:rPr>
          <w:color w:val="000000" w:themeColor="text1"/>
          <w:sz w:val="24"/>
          <w:szCs w:val="24"/>
        </w:rPr>
      </w:pPr>
    </w:p>
    <w:p w14:paraId="2DF513E0"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2E084D32" w14:textId="77777777" w:rsidR="00F7711F" w:rsidRDefault="00F7711F" w:rsidP="00F7711F">
      <w:pPr>
        <w:pStyle w:val="Heading1"/>
        <w:numPr>
          <w:ilvl w:val="0"/>
          <w:numId w:val="0"/>
        </w:numPr>
        <w:ind w:left="1170"/>
        <w:rPr>
          <w:sz w:val="24"/>
          <w:szCs w:val="24"/>
        </w:rPr>
      </w:pPr>
    </w:p>
    <w:p w14:paraId="0F864252"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7D0EF330" w14:textId="77777777" w:rsidTr="003146E0">
        <w:trPr>
          <w:trHeight w:val="134"/>
          <w:tblHeader/>
        </w:trPr>
        <w:tc>
          <w:tcPr>
            <w:tcW w:w="1765" w:type="pct"/>
            <w:shd w:val="clear" w:color="auto" w:fill="DEEAF6" w:themeFill="accent1" w:themeFillTint="33"/>
          </w:tcPr>
          <w:p w14:paraId="2CAAFE62"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36EDD117"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5C7B30E0"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3146E0" w:rsidRPr="001B5771" w14:paraId="03A2719D" w14:textId="77777777" w:rsidTr="003146E0">
        <w:trPr>
          <w:trHeight w:val="134"/>
        </w:trPr>
        <w:tc>
          <w:tcPr>
            <w:tcW w:w="5000" w:type="pct"/>
            <w:gridSpan w:val="3"/>
            <w:shd w:val="clear" w:color="auto" w:fill="BDD6EE" w:themeFill="accent1" w:themeFillTint="66"/>
          </w:tcPr>
          <w:p w14:paraId="41947545" w14:textId="77777777" w:rsidR="003146E0" w:rsidRPr="003146E0" w:rsidRDefault="003146E0" w:rsidP="003146E0">
            <w:pPr>
              <w:pStyle w:val="NoSpacing"/>
              <w:rPr>
                <w:rFonts w:ascii="Georgia" w:hAnsi="Georgia"/>
                <w:b/>
                <w:i/>
              </w:rPr>
            </w:pPr>
            <w:r w:rsidRPr="003146E0">
              <w:rPr>
                <w:rFonts w:ascii="Georgia" w:hAnsi="Georgia"/>
                <w:b/>
                <w:i/>
              </w:rPr>
              <w:t>Standard 1. Content Knowledge</w:t>
            </w:r>
          </w:p>
          <w:p w14:paraId="7763A337" w14:textId="77777777" w:rsidR="003146E0" w:rsidRPr="003146E0" w:rsidRDefault="003146E0" w:rsidP="003146E0">
            <w:pPr>
              <w:pStyle w:val="NoSpacing"/>
              <w:rPr>
                <w:rFonts w:ascii="Georgia" w:hAnsi="Georgia"/>
                <w:b/>
                <w:i/>
              </w:rPr>
            </w:pPr>
          </w:p>
          <w:p w14:paraId="44797C4D" w14:textId="77777777" w:rsidR="003146E0" w:rsidRPr="003146E0" w:rsidRDefault="003146E0" w:rsidP="003146E0">
            <w:pPr>
              <w:pStyle w:val="NoSpacing"/>
              <w:rPr>
                <w:rFonts w:ascii="Georgia" w:hAnsi="Georgia"/>
              </w:rPr>
            </w:pPr>
            <w:r w:rsidRPr="003146E0">
              <w:rPr>
                <w:rFonts w:ascii="Georgia" w:hAnsi="Georgia"/>
                <w:b/>
                <w:i/>
              </w:rPr>
              <w:t>Candidates demonstrate knowledge of social studies disciplines. Candidates are knowledgeable of disciplinary concepts, facts, and tools; structures of inquiry; and forms of representation.</w:t>
            </w:r>
            <w:r w:rsidRPr="003146E0">
              <w:rPr>
                <w:rFonts w:ascii="Georgia" w:hAnsi="Georgia"/>
                <w:bCs/>
              </w:rPr>
              <w:t xml:space="preserve"> </w:t>
            </w:r>
          </w:p>
        </w:tc>
      </w:tr>
      <w:tr w:rsidR="003146E0" w:rsidRPr="001B5771" w14:paraId="7402785D" w14:textId="77777777" w:rsidTr="003146E0">
        <w:trPr>
          <w:trHeight w:val="800"/>
        </w:trPr>
        <w:tc>
          <w:tcPr>
            <w:tcW w:w="1765" w:type="pct"/>
            <w:tcBorders>
              <w:bottom w:val="single" w:sz="4" w:space="0" w:color="auto"/>
            </w:tcBorders>
          </w:tcPr>
          <w:p w14:paraId="09ED4D22" w14:textId="77777777" w:rsidR="003146E0" w:rsidRPr="003146E0" w:rsidRDefault="003146E0" w:rsidP="003146E0">
            <w:pPr>
              <w:rPr>
                <w:rFonts w:ascii="Georgia" w:hAnsi="Georgia" w:cs="Tahoma"/>
              </w:rPr>
            </w:pPr>
            <w:r w:rsidRPr="003146E0">
              <w:rPr>
                <w:rFonts w:ascii="Georgia" w:hAnsi="Georgia" w:cs="Tahoma"/>
                <w:b/>
                <w:bCs/>
              </w:rPr>
              <w:t>1.1</w:t>
            </w:r>
            <w:r w:rsidRPr="003146E0">
              <w:rPr>
                <w:rFonts w:ascii="Georgia" w:hAnsi="Georgia" w:cs="Tahoma"/>
                <w:bCs/>
              </w:rPr>
              <w:t xml:space="preserve"> Candidates are knowledgeable about the concepts, facts, and tools in civics, economics, geography, history, and the social/behavioral sciences.</w:t>
            </w:r>
          </w:p>
        </w:tc>
        <w:tc>
          <w:tcPr>
            <w:tcW w:w="882" w:type="pct"/>
            <w:tcBorders>
              <w:bottom w:val="single" w:sz="4" w:space="0" w:color="auto"/>
            </w:tcBorders>
          </w:tcPr>
          <w:p w14:paraId="6FB4D48F" w14:textId="77777777" w:rsidR="003146E0" w:rsidRPr="003146E0" w:rsidRDefault="003146E0" w:rsidP="003146E0">
            <w:pPr>
              <w:jc w:val="both"/>
              <w:rPr>
                <w:rFonts w:ascii="Georgia" w:hAnsi="Georgia"/>
              </w:rPr>
            </w:pPr>
          </w:p>
        </w:tc>
        <w:tc>
          <w:tcPr>
            <w:tcW w:w="2353" w:type="pct"/>
            <w:tcBorders>
              <w:bottom w:val="single" w:sz="4" w:space="0" w:color="auto"/>
            </w:tcBorders>
          </w:tcPr>
          <w:p w14:paraId="074B6F88" w14:textId="77777777" w:rsidR="003146E0" w:rsidRPr="003146E0" w:rsidRDefault="003146E0" w:rsidP="003146E0">
            <w:pPr>
              <w:jc w:val="both"/>
              <w:rPr>
                <w:rFonts w:ascii="Georgia" w:hAnsi="Georgia"/>
              </w:rPr>
            </w:pPr>
          </w:p>
        </w:tc>
      </w:tr>
      <w:tr w:rsidR="003146E0" w:rsidRPr="001B5771" w14:paraId="7A1CF52A" w14:textId="77777777" w:rsidTr="003146E0">
        <w:trPr>
          <w:trHeight w:val="580"/>
        </w:trPr>
        <w:tc>
          <w:tcPr>
            <w:tcW w:w="1765" w:type="pct"/>
          </w:tcPr>
          <w:p w14:paraId="1DD07E53" w14:textId="77777777" w:rsidR="003146E0" w:rsidRPr="003146E0" w:rsidRDefault="003146E0" w:rsidP="003146E0">
            <w:pPr>
              <w:rPr>
                <w:rFonts w:ascii="Georgia" w:hAnsi="Georgia" w:cs="Tahoma"/>
              </w:rPr>
            </w:pPr>
            <w:r w:rsidRPr="003146E0">
              <w:rPr>
                <w:rFonts w:ascii="Georgia" w:hAnsi="Georgia" w:cs="Tahoma"/>
                <w:b/>
                <w:bCs/>
              </w:rPr>
              <w:t>1.2</w:t>
            </w:r>
            <w:r w:rsidRPr="003146E0">
              <w:rPr>
                <w:rFonts w:ascii="Georgia" w:hAnsi="Georgia" w:cs="Tahoma"/>
                <w:bCs/>
              </w:rPr>
              <w:t xml:space="preserve"> Candidates are knowledgeable about disciplinary inquiry in civics, economics, geography, history, and the social/behavioral sciences. </w:t>
            </w:r>
          </w:p>
        </w:tc>
        <w:tc>
          <w:tcPr>
            <w:tcW w:w="882" w:type="pct"/>
          </w:tcPr>
          <w:p w14:paraId="628AF76A" w14:textId="77777777" w:rsidR="003146E0" w:rsidRPr="003146E0" w:rsidRDefault="003146E0" w:rsidP="003146E0">
            <w:pPr>
              <w:jc w:val="both"/>
              <w:rPr>
                <w:rFonts w:ascii="Georgia" w:hAnsi="Georgia"/>
              </w:rPr>
            </w:pPr>
          </w:p>
        </w:tc>
        <w:tc>
          <w:tcPr>
            <w:tcW w:w="2353" w:type="pct"/>
          </w:tcPr>
          <w:p w14:paraId="08427F5E" w14:textId="77777777" w:rsidR="003146E0" w:rsidRPr="003146E0" w:rsidRDefault="003146E0" w:rsidP="003146E0">
            <w:pPr>
              <w:jc w:val="both"/>
              <w:rPr>
                <w:rFonts w:ascii="Georgia" w:hAnsi="Georgia"/>
              </w:rPr>
            </w:pPr>
          </w:p>
        </w:tc>
      </w:tr>
      <w:tr w:rsidR="003146E0" w:rsidRPr="001B5771" w14:paraId="4CC5C563" w14:textId="77777777" w:rsidTr="003146E0">
        <w:trPr>
          <w:trHeight w:val="845"/>
        </w:trPr>
        <w:tc>
          <w:tcPr>
            <w:tcW w:w="1765" w:type="pct"/>
          </w:tcPr>
          <w:p w14:paraId="43F6390E" w14:textId="77777777" w:rsidR="003146E0" w:rsidRPr="003146E0" w:rsidRDefault="003146E0" w:rsidP="003146E0">
            <w:pPr>
              <w:rPr>
                <w:rFonts w:ascii="Georgia" w:hAnsi="Georgia"/>
                <w:bCs/>
              </w:rPr>
            </w:pPr>
            <w:r w:rsidRPr="003146E0">
              <w:rPr>
                <w:rFonts w:ascii="Georgia" w:hAnsi="Georgia" w:cs="Tahoma"/>
                <w:b/>
                <w:bCs/>
              </w:rPr>
              <w:t>1.3</w:t>
            </w:r>
            <w:r w:rsidRPr="003146E0">
              <w:rPr>
                <w:rFonts w:ascii="Georgia" w:hAnsi="Georgia" w:cs="Tahoma"/>
                <w:bCs/>
              </w:rPr>
              <w:t xml:space="preserve"> Candidates are knowledgeable about disciplinary forms of representation in civics, economics, geography, history, and the social/behavioral sciences. </w:t>
            </w:r>
          </w:p>
        </w:tc>
        <w:tc>
          <w:tcPr>
            <w:tcW w:w="882" w:type="pct"/>
          </w:tcPr>
          <w:p w14:paraId="57F79E09" w14:textId="77777777" w:rsidR="003146E0" w:rsidRPr="003146E0" w:rsidRDefault="003146E0" w:rsidP="003146E0">
            <w:pPr>
              <w:jc w:val="both"/>
              <w:rPr>
                <w:rFonts w:ascii="Georgia" w:hAnsi="Georgia"/>
              </w:rPr>
            </w:pPr>
          </w:p>
        </w:tc>
        <w:tc>
          <w:tcPr>
            <w:tcW w:w="2353" w:type="pct"/>
          </w:tcPr>
          <w:p w14:paraId="517691D7" w14:textId="77777777" w:rsidR="003146E0" w:rsidRPr="003146E0" w:rsidRDefault="003146E0" w:rsidP="003146E0">
            <w:pPr>
              <w:jc w:val="both"/>
              <w:rPr>
                <w:rFonts w:ascii="Georgia" w:hAnsi="Georgia"/>
              </w:rPr>
            </w:pPr>
          </w:p>
        </w:tc>
      </w:tr>
      <w:tr w:rsidR="003146E0" w:rsidRPr="001B5771" w14:paraId="1EE0EA01" w14:textId="77777777" w:rsidTr="003146E0">
        <w:trPr>
          <w:trHeight w:val="845"/>
        </w:trPr>
        <w:tc>
          <w:tcPr>
            <w:tcW w:w="5000" w:type="pct"/>
            <w:gridSpan w:val="3"/>
            <w:shd w:val="clear" w:color="auto" w:fill="BDD6EE" w:themeFill="accent1" w:themeFillTint="66"/>
          </w:tcPr>
          <w:p w14:paraId="5A325076" w14:textId="77777777" w:rsidR="003146E0" w:rsidRPr="003146E0" w:rsidRDefault="003146E0" w:rsidP="003146E0">
            <w:pPr>
              <w:pStyle w:val="NoSpacing"/>
              <w:rPr>
                <w:rFonts w:ascii="Georgia" w:hAnsi="Georgia"/>
                <w:b/>
                <w:i/>
              </w:rPr>
            </w:pPr>
            <w:r w:rsidRPr="003146E0">
              <w:rPr>
                <w:rFonts w:ascii="Georgia" w:hAnsi="Georgia"/>
                <w:b/>
                <w:i/>
              </w:rPr>
              <w:t xml:space="preserve">Standard 2. Application of Content through Planning </w:t>
            </w:r>
          </w:p>
          <w:p w14:paraId="5745B57A" w14:textId="77777777" w:rsidR="003146E0" w:rsidRPr="003146E0" w:rsidRDefault="003146E0" w:rsidP="003146E0">
            <w:pPr>
              <w:pStyle w:val="NoSpacing"/>
              <w:rPr>
                <w:rFonts w:ascii="Georgia" w:hAnsi="Georgia"/>
                <w:b/>
                <w:i/>
              </w:rPr>
            </w:pPr>
          </w:p>
          <w:p w14:paraId="284FF7C4" w14:textId="77777777" w:rsidR="003146E0" w:rsidRPr="003146E0" w:rsidRDefault="003146E0" w:rsidP="003146E0">
            <w:pPr>
              <w:pStyle w:val="NoSpacing"/>
              <w:rPr>
                <w:rFonts w:ascii="Georgia" w:hAnsi="Georgia"/>
              </w:rPr>
            </w:pPr>
            <w:r w:rsidRPr="003146E0">
              <w:rPr>
                <w:rFonts w:ascii="Georgia" w:hAnsi="Georgia"/>
                <w:b/>
                <w:i/>
              </w:rPr>
              <w:t>Candidates plan learning sequences that leverage social studies knowledge and literacies, technology, and theory and research to support the civic competence of learners.</w:t>
            </w:r>
          </w:p>
        </w:tc>
      </w:tr>
      <w:tr w:rsidR="003146E0" w:rsidRPr="001B5771" w14:paraId="6EDB3D3B" w14:textId="77777777" w:rsidTr="003146E0">
        <w:trPr>
          <w:trHeight w:val="845"/>
        </w:trPr>
        <w:tc>
          <w:tcPr>
            <w:tcW w:w="1765" w:type="pct"/>
          </w:tcPr>
          <w:p w14:paraId="357DED00" w14:textId="77777777" w:rsidR="003146E0" w:rsidRPr="003146E0" w:rsidRDefault="003146E0" w:rsidP="003146E0">
            <w:pPr>
              <w:rPr>
                <w:rFonts w:ascii="Georgia" w:hAnsi="Georgia" w:cs="Tahoma"/>
              </w:rPr>
            </w:pPr>
            <w:r w:rsidRPr="003146E0">
              <w:rPr>
                <w:rFonts w:ascii="Georgia" w:hAnsi="Georgia" w:cs="Tahoma"/>
                <w:b/>
              </w:rPr>
              <w:t>2.1</w:t>
            </w:r>
            <w:r w:rsidRPr="003146E0">
              <w:rPr>
                <w:rFonts w:ascii="Georgia" w:hAnsi="Georgia" w:cs="Tahoma"/>
              </w:rPr>
              <w:t xml:space="preserve"> Candidates plan learning sequences that demonstrate social studies knowledge aligned with the C3 Framework, state-required content standards, and theory and research.</w:t>
            </w:r>
          </w:p>
        </w:tc>
        <w:tc>
          <w:tcPr>
            <w:tcW w:w="882" w:type="pct"/>
          </w:tcPr>
          <w:p w14:paraId="3AF9DB2A" w14:textId="77777777" w:rsidR="003146E0" w:rsidRPr="003146E0" w:rsidRDefault="003146E0" w:rsidP="003146E0">
            <w:pPr>
              <w:jc w:val="both"/>
              <w:rPr>
                <w:rFonts w:ascii="Georgia" w:hAnsi="Georgia"/>
              </w:rPr>
            </w:pPr>
          </w:p>
        </w:tc>
        <w:tc>
          <w:tcPr>
            <w:tcW w:w="2353" w:type="pct"/>
          </w:tcPr>
          <w:p w14:paraId="1E599CA6" w14:textId="77777777" w:rsidR="003146E0" w:rsidRPr="003146E0" w:rsidRDefault="003146E0" w:rsidP="003146E0">
            <w:pPr>
              <w:jc w:val="both"/>
              <w:rPr>
                <w:rFonts w:ascii="Georgia" w:hAnsi="Georgia"/>
              </w:rPr>
            </w:pPr>
          </w:p>
        </w:tc>
      </w:tr>
      <w:tr w:rsidR="003146E0" w:rsidRPr="001B5771" w14:paraId="13A31E4F" w14:textId="77777777" w:rsidTr="003146E0">
        <w:trPr>
          <w:trHeight w:val="854"/>
        </w:trPr>
        <w:tc>
          <w:tcPr>
            <w:tcW w:w="1765" w:type="pct"/>
          </w:tcPr>
          <w:p w14:paraId="6BC8F1B9" w14:textId="77777777" w:rsidR="003146E0" w:rsidRPr="003146E0" w:rsidRDefault="003146E0" w:rsidP="003146E0">
            <w:pPr>
              <w:rPr>
                <w:rFonts w:ascii="Georgia" w:hAnsi="Georgia" w:cs="Tahoma"/>
              </w:rPr>
            </w:pPr>
            <w:r w:rsidRPr="003146E0">
              <w:rPr>
                <w:rFonts w:ascii="Georgia" w:hAnsi="Georgia" w:cs="Tahoma"/>
                <w:b/>
              </w:rPr>
              <w:lastRenderedPageBreak/>
              <w:t>2.2</w:t>
            </w:r>
            <w:r w:rsidRPr="003146E0">
              <w:rPr>
                <w:rFonts w:ascii="Georgia" w:hAnsi="Georgia" w:cs="Tahoma"/>
              </w:rPr>
              <w:t xml:space="preserve"> Candidates plan learning sequences that engage learners with disciplinary concepts, facts, and tools from the social studies disciplines to facilitate social studies literacies for civic life.</w:t>
            </w:r>
          </w:p>
        </w:tc>
        <w:tc>
          <w:tcPr>
            <w:tcW w:w="882" w:type="pct"/>
          </w:tcPr>
          <w:p w14:paraId="16EE38A0" w14:textId="77777777" w:rsidR="003146E0" w:rsidRPr="003146E0" w:rsidRDefault="003146E0" w:rsidP="003146E0">
            <w:pPr>
              <w:jc w:val="both"/>
              <w:rPr>
                <w:rFonts w:ascii="Georgia" w:hAnsi="Georgia"/>
              </w:rPr>
            </w:pPr>
          </w:p>
        </w:tc>
        <w:tc>
          <w:tcPr>
            <w:tcW w:w="2353" w:type="pct"/>
          </w:tcPr>
          <w:p w14:paraId="4BFF13B0" w14:textId="77777777" w:rsidR="003146E0" w:rsidRPr="003146E0" w:rsidRDefault="003146E0" w:rsidP="003146E0">
            <w:pPr>
              <w:jc w:val="both"/>
              <w:rPr>
                <w:rFonts w:ascii="Georgia" w:hAnsi="Georgia"/>
              </w:rPr>
            </w:pPr>
          </w:p>
        </w:tc>
      </w:tr>
      <w:tr w:rsidR="003146E0" w:rsidRPr="001B5771" w14:paraId="14565EFD" w14:textId="77777777" w:rsidTr="003146E0">
        <w:trPr>
          <w:trHeight w:val="890"/>
        </w:trPr>
        <w:tc>
          <w:tcPr>
            <w:tcW w:w="1765" w:type="pct"/>
          </w:tcPr>
          <w:p w14:paraId="73CE683B" w14:textId="77777777" w:rsidR="003146E0" w:rsidRPr="003146E0" w:rsidRDefault="003146E0" w:rsidP="003146E0">
            <w:pPr>
              <w:rPr>
                <w:rFonts w:ascii="Georgia" w:hAnsi="Georgia" w:cs="Tahoma"/>
              </w:rPr>
            </w:pPr>
            <w:r w:rsidRPr="003146E0">
              <w:rPr>
                <w:rFonts w:ascii="Georgia" w:hAnsi="Georgia" w:cs="Tahoma"/>
                <w:b/>
              </w:rPr>
              <w:t>2.3</w:t>
            </w:r>
            <w:r w:rsidRPr="003146E0">
              <w:rPr>
                <w:rFonts w:ascii="Georgia" w:hAnsi="Georgia" w:cs="Tahoma"/>
              </w:rPr>
              <w:t xml:space="preserve"> Candidates plan learning sequences that engage learners in disciplinary inquiry to develop social studies literacies for civic life.</w:t>
            </w:r>
          </w:p>
        </w:tc>
        <w:tc>
          <w:tcPr>
            <w:tcW w:w="882" w:type="pct"/>
          </w:tcPr>
          <w:p w14:paraId="50818DBA" w14:textId="77777777" w:rsidR="003146E0" w:rsidRPr="003146E0" w:rsidRDefault="003146E0" w:rsidP="003146E0">
            <w:pPr>
              <w:jc w:val="both"/>
              <w:rPr>
                <w:rFonts w:ascii="Georgia" w:hAnsi="Georgia"/>
              </w:rPr>
            </w:pPr>
          </w:p>
        </w:tc>
        <w:tc>
          <w:tcPr>
            <w:tcW w:w="2353" w:type="pct"/>
          </w:tcPr>
          <w:p w14:paraId="152700CC" w14:textId="77777777" w:rsidR="003146E0" w:rsidRPr="003146E0" w:rsidRDefault="003146E0" w:rsidP="003146E0">
            <w:pPr>
              <w:jc w:val="both"/>
              <w:rPr>
                <w:rFonts w:ascii="Georgia" w:hAnsi="Georgia"/>
              </w:rPr>
            </w:pPr>
          </w:p>
        </w:tc>
      </w:tr>
      <w:tr w:rsidR="003146E0" w:rsidRPr="001B5771" w14:paraId="457FAA40" w14:textId="77777777" w:rsidTr="003146E0">
        <w:trPr>
          <w:trHeight w:val="881"/>
        </w:trPr>
        <w:tc>
          <w:tcPr>
            <w:tcW w:w="1765" w:type="pct"/>
          </w:tcPr>
          <w:p w14:paraId="5086D152" w14:textId="77777777" w:rsidR="003146E0" w:rsidRPr="003146E0" w:rsidRDefault="003146E0" w:rsidP="003146E0">
            <w:pPr>
              <w:rPr>
                <w:rFonts w:ascii="Georgia" w:hAnsi="Georgia" w:cs="Tahoma"/>
              </w:rPr>
            </w:pPr>
            <w:r w:rsidRPr="003146E0">
              <w:rPr>
                <w:rFonts w:ascii="Georgia" w:hAnsi="Georgia" w:cs="Tahoma"/>
                <w:b/>
              </w:rPr>
              <w:t>2.4</w:t>
            </w:r>
            <w:r w:rsidRPr="003146E0">
              <w:rPr>
                <w:rFonts w:ascii="Georgia" w:hAnsi="Georgia" w:cs="Tahoma"/>
              </w:rPr>
              <w:t xml:space="preserve"> Candidates plan learning sequences where learners create disciplinary forms of representation that convey social studies knowledge and civic competence.</w:t>
            </w:r>
          </w:p>
        </w:tc>
        <w:tc>
          <w:tcPr>
            <w:tcW w:w="882" w:type="pct"/>
          </w:tcPr>
          <w:p w14:paraId="5F192695" w14:textId="77777777" w:rsidR="003146E0" w:rsidRPr="003146E0" w:rsidRDefault="003146E0" w:rsidP="003146E0">
            <w:pPr>
              <w:rPr>
                <w:rFonts w:ascii="Georgia" w:hAnsi="Georgia"/>
              </w:rPr>
            </w:pPr>
          </w:p>
        </w:tc>
        <w:tc>
          <w:tcPr>
            <w:tcW w:w="2353" w:type="pct"/>
          </w:tcPr>
          <w:p w14:paraId="62E9FC44" w14:textId="77777777" w:rsidR="003146E0" w:rsidRPr="003146E0" w:rsidRDefault="003146E0" w:rsidP="003146E0">
            <w:pPr>
              <w:rPr>
                <w:rFonts w:ascii="Georgia" w:hAnsi="Georgia"/>
              </w:rPr>
            </w:pPr>
          </w:p>
        </w:tc>
      </w:tr>
      <w:tr w:rsidR="003146E0" w:rsidRPr="001B5771" w14:paraId="659403F3" w14:textId="77777777" w:rsidTr="003146E0">
        <w:trPr>
          <w:trHeight w:val="881"/>
        </w:trPr>
        <w:tc>
          <w:tcPr>
            <w:tcW w:w="1765" w:type="pct"/>
          </w:tcPr>
          <w:p w14:paraId="4DB32228" w14:textId="77777777" w:rsidR="003146E0" w:rsidRPr="003146E0" w:rsidRDefault="003146E0" w:rsidP="003146E0">
            <w:pPr>
              <w:rPr>
                <w:rFonts w:ascii="Georgia" w:hAnsi="Georgia" w:cs="Tahoma"/>
              </w:rPr>
            </w:pPr>
            <w:r w:rsidRPr="003146E0">
              <w:rPr>
                <w:rFonts w:ascii="Georgia" w:hAnsi="Georgia" w:cs="Tahoma"/>
                <w:b/>
              </w:rPr>
              <w:t>2.5</w:t>
            </w:r>
            <w:r w:rsidRPr="003146E0">
              <w:rPr>
                <w:rFonts w:ascii="Georgia" w:hAnsi="Georgia" w:cs="Tahoma"/>
              </w:rPr>
              <w:t xml:space="preserve"> Candidates plan learning sequences that use technology to foster civic competence.</w:t>
            </w:r>
          </w:p>
          <w:p w14:paraId="6C322841" w14:textId="77777777" w:rsidR="003146E0" w:rsidRPr="003146E0" w:rsidRDefault="003146E0" w:rsidP="003146E0">
            <w:pPr>
              <w:rPr>
                <w:rFonts w:ascii="Georgia" w:hAnsi="Georgia" w:cs="Tahoma"/>
              </w:rPr>
            </w:pPr>
          </w:p>
        </w:tc>
        <w:tc>
          <w:tcPr>
            <w:tcW w:w="882" w:type="pct"/>
          </w:tcPr>
          <w:p w14:paraId="5B3F29A4" w14:textId="77777777" w:rsidR="003146E0" w:rsidRPr="003146E0" w:rsidRDefault="003146E0" w:rsidP="003146E0">
            <w:pPr>
              <w:rPr>
                <w:rFonts w:ascii="Georgia" w:hAnsi="Georgia"/>
              </w:rPr>
            </w:pPr>
          </w:p>
        </w:tc>
        <w:tc>
          <w:tcPr>
            <w:tcW w:w="2353" w:type="pct"/>
          </w:tcPr>
          <w:p w14:paraId="212D654D" w14:textId="77777777" w:rsidR="003146E0" w:rsidRPr="003146E0" w:rsidRDefault="003146E0" w:rsidP="003146E0">
            <w:pPr>
              <w:rPr>
                <w:rFonts w:ascii="Georgia" w:hAnsi="Georgia"/>
              </w:rPr>
            </w:pPr>
          </w:p>
        </w:tc>
      </w:tr>
      <w:tr w:rsidR="003146E0" w:rsidRPr="00A85C9E" w14:paraId="513BB27C" w14:textId="77777777" w:rsidTr="003146E0">
        <w:trPr>
          <w:trHeight w:val="890"/>
        </w:trPr>
        <w:tc>
          <w:tcPr>
            <w:tcW w:w="5000" w:type="pct"/>
            <w:gridSpan w:val="3"/>
            <w:shd w:val="clear" w:color="auto" w:fill="BDD6EE" w:themeFill="accent1" w:themeFillTint="66"/>
          </w:tcPr>
          <w:p w14:paraId="7A687E54" w14:textId="77777777" w:rsidR="003146E0" w:rsidRPr="003146E0" w:rsidRDefault="003146E0" w:rsidP="003146E0">
            <w:pPr>
              <w:pStyle w:val="NoSpacing"/>
              <w:rPr>
                <w:rFonts w:ascii="Georgia" w:hAnsi="Georgia"/>
                <w:b/>
                <w:i/>
              </w:rPr>
            </w:pPr>
            <w:r w:rsidRPr="003146E0">
              <w:rPr>
                <w:rFonts w:ascii="Georgia" w:hAnsi="Georgia"/>
                <w:b/>
                <w:i/>
              </w:rPr>
              <w:t xml:space="preserve">Standard 3. Design and Implementation of Instruction and Assessment </w:t>
            </w:r>
          </w:p>
          <w:p w14:paraId="15C362CA" w14:textId="77777777" w:rsidR="003146E0" w:rsidRPr="003146E0" w:rsidRDefault="003146E0" w:rsidP="003146E0">
            <w:pPr>
              <w:pStyle w:val="NoSpacing"/>
              <w:rPr>
                <w:rFonts w:ascii="Georgia" w:hAnsi="Georgia"/>
                <w:b/>
                <w:i/>
              </w:rPr>
            </w:pPr>
          </w:p>
          <w:p w14:paraId="03B1A60B" w14:textId="77777777" w:rsidR="003146E0" w:rsidRPr="003146E0" w:rsidRDefault="003146E0" w:rsidP="003146E0">
            <w:pPr>
              <w:pStyle w:val="NoSpacing"/>
              <w:rPr>
                <w:rFonts w:ascii="Georgia" w:hAnsi="Georgia"/>
              </w:rPr>
            </w:pPr>
            <w:r w:rsidRPr="003146E0">
              <w:rPr>
                <w:rFonts w:ascii="Georgia" w:hAnsi="Georgia"/>
                <w:b/>
                <w:i/>
              </w:rPr>
              <w:t>Candidates design and implement instruction and authentic assessments, informed by data literacy and learner self-assessment, that promote civic competence.</w:t>
            </w:r>
          </w:p>
        </w:tc>
      </w:tr>
      <w:tr w:rsidR="003146E0" w:rsidRPr="001B5771" w14:paraId="446562BA" w14:textId="77777777" w:rsidTr="003146E0">
        <w:trPr>
          <w:trHeight w:val="890"/>
        </w:trPr>
        <w:tc>
          <w:tcPr>
            <w:tcW w:w="1765" w:type="pct"/>
          </w:tcPr>
          <w:p w14:paraId="7A3B2B9D" w14:textId="77777777" w:rsidR="003146E0" w:rsidRPr="003146E0" w:rsidRDefault="003146E0" w:rsidP="003146E0">
            <w:pPr>
              <w:pStyle w:val="NoSpacing"/>
              <w:rPr>
                <w:rFonts w:ascii="Georgia" w:hAnsi="Georgia"/>
              </w:rPr>
            </w:pPr>
            <w:r w:rsidRPr="003146E0">
              <w:rPr>
                <w:rFonts w:ascii="Georgia" w:hAnsi="Georgia"/>
                <w:b/>
              </w:rPr>
              <w:t>3.1</w:t>
            </w:r>
            <w:r w:rsidRPr="003146E0">
              <w:rPr>
                <w:rFonts w:ascii="Georgia" w:hAnsi="Georgia"/>
              </w:rPr>
              <w:t xml:space="preserve"> Candidates design and implement a range of authentic assessments that measure learners’ mastery of disciplinary knowledge, inquiry, and forms of representation for civic competence and demonstrate alignment with state-required content standards.</w:t>
            </w:r>
          </w:p>
        </w:tc>
        <w:tc>
          <w:tcPr>
            <w:tcW w:w="882" w:type="pct"/>
          </w:tcPr>
          <w:p w14:paraId="4B052DCE" w14:textId="77777777" w:rsidR="003146E0" w:rsidRPr="003146E0" w:rsidRDefault="003146E0" w:rsidP="003146E0">
            <w:pPr>
              <w:jc w:val="both"/>
              <w:rPr>
                <w:rFonts w:ascii="Georgia" w:hAnsi="Georgia"/>
              </w:rPr>
            </w:pPr>
          </w:p>
        </w:tc>
        <w:tc>
          <w:tcPr>
            <w:tcW w:w="2353" w:type="pct"/>
          </w:tcPr>
          <w:p w14:paraId="20BB16C6" w14:textId="77777777" w:rsidR="003146E0" w:rsidRPr="003146E0" w:rsidRDefault="003146E0" w:rsidP="003146E0">
            <w:pPr>
              <w:jc w:val="both"/>
              <w:rPr>
                <w:rFonts w:ascii="Georgia" w:hAnsi="Georgia"/>
              </w:rPr>
            </w:pPr>
          </w:p>
        </w:tc>
      </w:tr>
      <w:tr w:rsidR="003146E0" w:rsidRPr="001B5771" w14:paraId="37462F4E" w14:textId="77777777" w:rsidTr="003146E0">
        <w:trPr>
          <w:trHeight w:val="683"/>
        </w:trPr>
        <w:tc>
          <w:tcPr>
            <w:tcW w:w="1765" w:type="pct"/>
          </w:tcPr>
          <w:p w14:paraId="00894746" w14:textId="77777777" w:rsidR="003146E0" w:rsidRPr="003146E0" w:rsidRDefault="003146E0" w:rsidP="003146E0">
            <w:pPr>
              <w:pStyle w:val="NoSpacing"/>
              <w:rPr>
                <w:rFonts w:ascii="Georgia" w:hAnsi="Georgia"/>
              </w:rPr>
            </w:pPr>
            <w:r w:rsidRPr="003146E0">
              <w:rPr>
                <w:rFonts w:ascii="Georgia" w:hAnsi="Georgia"/>
                <w:b/>
              </w:rPr>
              <w:t>3.2</w:t>
            </w:r>
            <w:r w:rsidRPr="003146E0">
              <w:rPr>
                <w:rFonts w:ascii="Georgia" w:hAnsi="Georgia"/>
              </w:rPr>
              <w:t xml:space="preserve"> Candidates design and implement learning experiences that engage learners in disciplinary knowledge, inquiry, and forms of representation for civic competence and </w:t>
            </w:r>
            <w:r w:rsidRPr="003146E0">
              <w:rPr>
                <w:rFonts w:ascii="Georgia" w:hAnsi="Georgia"/>
              </w:rPr>
              <w:lastRenderedPageBreak/>
              <w:t>demonstrate alignment with state-required content standards.</w:t>
            </w:r>
          </w:p>
        </w:tc>
        <w:tc>
          <w:tcPr>
            <w:tcW w:w="882" w:type="pct"/>
          </w:tcPr>
          <w:p w14:paraId="2D8009C5" w14:textId="77777777" w:rsidR="003146E0" w:rsidRPr="003146E0" w:rsidRDefault="003146E0" w:rsidP="003146E0">
            <w:pPr>
              <w:jc w:val="both"/>
              <w:rPr>
                <w:rFonts w:ascii="Georgia" w:hAnsi="Georgia"/>
              </w:rPr>
            </w:pPr>
          </w:p>
        </w:tc>
        <w:tc>
          <w:tcPr>
            <w:tcW w:w="2353" w:type="pct"/>
          </w:tcPr>
          <w:p w14:paraId="24038D08" w14:textId="77777777" w:rsidR="003146E0" w:rsidRPr="003146E0" w:rsidRDefault="003146E0" w:rsidP="003146E0">
            <w:pPr>
              <w:jc w:val="both"/>
              <w:rPr>
                <w:rFonts w:ascii="Georgia" w:hAnsi="Georgia"/>
              </w:rPr>
            </w:pPr>
          </w:p>
        </w:tc>
      </w:tr>
      <w:tr w:rsidR="003146E0" w:rsidRPr="001B5771" w14:paraId="7C1A568F" w14:textId="77777777" w:rsidTr="003146E0">
        <w:trPr>
          <w:trHeight w:val="602"/>
        </w:trPr>
        <w:tc>
          <w:tcPr>
            <w:tcW w:w="1765" w:type="pct"/>
          </w:tcPr>
          <w:p w14:paraId="1A9198CB" w14:textId="77777777" w:rsidR="003146E0" w:rsidRPr="003146E0" w:rsidRDefault="003146E0" w:rsidP="003146E0">
            <w:pPr>
              <w:pStyle w:val="NoSpacing"/>
              <w:rPr>
                <w:rFonts w:ascii="Georgia" w:hAnsi="Georgia"/>
              </w:rPr>
            </w:pPr>
            <w:r w:rsidRPr="003146E0">
              <w:rPr>
                <w:rFonts w:ascii="Georgia" w:hAnsi="Georgia"/>
                <w:b/>
              </w:rPr>
              <w:t>3.3</w:t>
            </w:r>
            <w:r w:rsidRPr="003146E0">
              <w:rPr>
                <w:rFonts w:ascii="Georgia" w:hAnsi="Georgia"/>
              </w:rPr>
              <w:t xml:space="preserve"> Candidates use theory and research to implement a variety of instructional practices and authentic assessments featuring disciplinary knowledge, inquiry, and forms of representation for civic competence.</w:t>
            </w:r>
          </w:p>
        </w:tc>
        <w:tc>
          <w:tcPr>
            <w:tcW w:w="882" w:type="pct"/>
          </w:tcPr>
          <w:p w14:paraId="5E9F709F" w14:textId="77777777" w:rsidR="003146E0" w:rsidRPr="003146E0" w:rsidRDefault="003146E0" w:rsidP="003146E0">
            <w:pPr>
              <w:jc w:val="both"/>
              <w:rPr>
                <w:rFonts w:ascii="Georgia" w:hAnsi="Georgia"/>
              </w:rPr>
            </w:pPr>
          </w:p>
        </w:tc>
        <w:tc>
          <w:tcPr>
            <w:tcW w:w="2353" w:type="pct"/>
          </w:tcPr>
          <w:p w14:paraId="25B06B8A" w14:textId="77777777" w:rsidR="003146E0" w:rsidRPr="003146E0" w:rsidRDefault="003146E0" w:rsidP="003146E0">
            <w:pPr>
              <w:jc w:val="both"/>
              <w:rPr>
                <w:rFonts w:ascii="Georgia" w:hAnsi="Georgia"/>
              </w:rPr>
            </w:pPr>
          </w:p>
        </w:tc>
      </w:tr>
      <w:tr w:rsidR="003146E0" w:rsidRPr="001B5771" w14:paraId="079EBB11" w14:textId="77777777" w:rsidTr="003146E0">
        <w:trPr>
          <w:trHeight w:val="845"/>
        </w:trPr>
        <w:tc>
          <w:tcPr>
            <w:tcW w:w="1765" w:type="pct"/>
          </w:tcPr>
          <w:p w14:paraId="1977AC74" w14:textId="77777777" w:rsidR="003146E0" w:rsidRPr="003146E0" w:rsidRDefault="003146E0" w:rsidP="003146E0">
            <w:pPr>
              <w:rPr>
                <w:rFonts w:ascii="Georgia" w:hAnsi="Georgia" w:cs="Tahoma"/>
              </w:rPr>
            </w:pPr>
            <w:r w:rsidRPr="003146E0">
              <w:rPr>
                <w:rFonts w:ascii="Georgia" w:hAnsi="Georgia" w:cs="Tahoma"/>
                <w:b/>
              </w:rPr>
              <w:t>3.4</w:t>
            </w:r>
            <w:r w:rsidRPr="003146E0">
              <w:rPr>
                <w:rFonts w:ascii="Georgia" w:hAnsi="Georgia" w:cs="Tahoma"/>
              </w:rPr>
              <w:t xml:space="preserve"> Candidates exhibit data literacy by using assessment data to guide instructional decision-making and reflect on student learning outcomes related to disciplinary knowledge, inquiry, and forms of representation for civic competence.</w:t>
            </w:r>
          </w:p>
        </w:tc>
        <w:tc>
          <w:tcPr>
            <w:tcW w:w="882" w:type="pct"/>
          </w:tcPr>
          <w:p w14:paraId="1F1FA566" w14:textId="77777777" w:rsidR="003146E0" w:rsidRPr="003146E0" w:rsidRDefault="003146E0" w:rsidP="003146E0">
            <w:pPr>
              <w:jc w:val="both"/>
              <w:rPr>
                <w:rFonts w:ascii="Georgia" w:hAnsi="Georgia"/>
              </w:rPr>
            </w:pPr>
          </w:p>
        </w:tc>
        <w:tc>
          <w:tcPr>
            <w:tcW w:w="2353" w:type="pct"/>
          </w:tcPr>
          <w:p w14:paraId="1C1909EE" w14:textId="77777777" w:rsidR="003146E0" w:rsidRPr="003146E0" w:rsidRDefault="003146E0" w:rsidP="003146E0">
            <w:pPr>
              <w:jc w:val="both"/>
              <w:rPr>
                <w:rFonts w:ascii="Georgia" w:hAnsi="Georgia"/>
              </w:rPr>
            </w:pPr>
          </w:p>
        </w:tc>
      </w:tr>
      <w:tr w:rsidR="003146E0" w:rsidRPr="001B5771" w14:paraId="58B7A952" w14:textId="77777777" w:rsidTr="003146E0">
        <w:trPr>
          <w:trHeight w:val="737"/>
        </w:trPr>
        <w:tc>
          <w:tcPr>
            <w:tcW w:w="1765" w:type="pct"/>
          </w:tcPr>
          <w:p w14:paraId="6F7B3937" w14:textId="77777777" w:rsidR="003146E0" w:rsidRPr="003146E0" w:rsidRDefault="003146E0" w:rsidP="003146E0">
            <w:pPr>
              <w:rPr>
                <w:rFonts w:ascii="Georgia" w:hAnsi="Georgia" w:cs="Tahoma"/>
              </w:rPr>
            </w:pPr>
            <w:r w:rsidRPr="003146E0">
              <w:rPr>
                <w:rFonts w:ascii="Georgia" w:hAnsi="Georgia" w:cs="Tahoma"/>
                <w:b/>
              </w:rPr>
              <w:t>3.5</w:t>
            </w:r>
            <w:r w:rsidRPr="003146E0">
              <w:rPr>
                <w:rFonts w:ascii="Georgia" w:hAnsi="Georgia" w:cs="Tahoma"/>
              </w:rPr>
              <w:t xml:space="preserve"> Candidates engage learners in self-assessment practices that support individualized learning outcomes related to disciplinary knowledge, inquiry, and forms of representation for civic competence.</w:t>
            </w:r>
          </w:p>
        </w:tc>
        <w:tc>
          <w:tcPr>
            <w:tcW w:w="882" w:type="pct"/>
          </w:tcPr>
          <w:p w14:paraId="654EDC1A" w14:textId="77777777" w:rsidR="003146E0" w:rsidRPr="003146E0" w:rsidRDefault="003146E0" w:rsidP="003146E0">
            <w:pPr>
              <w:jc w:val="both"/>
              <w:rPr>
                <w:rFonts w:ascii="Georgia" w:hAnsi="Georgia"/>
              </w:rPr>
            </w:pPr>
          </w:p>
        </w:tc>
        <w:tc>
          <w:tcPr>
            <w:tcW w:w="2353" w:type="pct"/>
          </w:tcPr>
          <w:p w14:paraId="1D5ECBA8" w14:textId="77777777" w:rsidR="003146E0" w:rsidRPr="003146E0" w:rsidRDefault="003146E0" w:rsidP="003146E0">
            <w:pPr>
              <w:jc w:val="both"/>
              <w:rPr>
                <w:rFonts w:ascii="Georgia" w:hAnsi="Georgia"/>
              </w:rPr>
            </w:pPr>
          </w:p>
        </w:tc>
      </w:tr>
      <w:tr w:rsidR="003146E0" w:rsidRPr="001B5771" w14:paraId="34F90B2C" w14:textId="77777777" w:rsidTr="003146E0">
        <w:trPr>
          <w:trHeight w:val="305"/>
        </w:trPr>
        <w:tc>
          <w:tcPr>
            <w:tcW w:w="5000" w:type="pct"/>
            <w:gridSpan w:val="3"/>
            <w:tcBorders>
              <w:bottom w:val="single" w:sz="4" w:space="0" w:color="auto"/>
            </w:tcBorders>
            <w:shd w:val="clear" w:color="auto" w:fill="BDD6EE" w:themeFill="accent1" w:themeFillTint="66"/>
          </w:tcPr>
          <w:p w14:paraId="18E79EF6" w14:textId="77777777" w:rsidR="003146E0" w:rsidRDefault="003146E0" w:rsidP="003146E0">
            <w:pPr>
              <w:spacing w:after="0" w:line="240" w:lineRule="auto"/>
              <w:rPr>
                <w:rFonts w:ascii="Georgia" w:hAnsi="Georgia" w:cs="Tahoma"/>
                <w:b/>
                <w:i/>
              </w:rPr>
            </w:pPr>
            <w:r>
              <w:rPr>
                <w:rFonts w:ascii="Georgia" w:hAnsi="Georgia" w:cs="Tahoma"/>
                <w:b/>
                <w:i/>
              </w:rPr>
              <w:t>Standard 4. Social Studies and Learning</w:t>
            </w:r>
          </w:p>
          <w:p w14:paraId="08C9F3A0" w14:textId="77777777" w:rsidR="003146E0" w:rsidRDefault="003146E0" w:rsidP="003146E0">
            <w:pPr>
              <w:spacing w:after="0" w:line="240" w:lineRule="auto"/>
              <w:rPr>
                <w:rFonts w:ascii="Georgia" w:hAnsi="Georgia" w:cs="Tahoma"/>
                <w:b/>
                <w:i/>
              </w:rPr>
            </w:pPr>
          </w:p>
          <w:p w14:paraId="4693F3B4" w14:textId="77777777" w:rsidR="003146E0" w:rsidRPr="004F276D" w:rsidRDefault="003146E0" w:rsidP="003146E0">
            <w:pPr>
              <w:spacing w:after="0" w:line="240" w:lineRule="auto"/>
              <w:rPr>
                <w:rFonts w:ascii="Times New Roman" w:eastAsia="Times New Roman" w:hAnsi="Times New Roman" w:cs="Times New Roman"/>
                <w:sz w:val="24"/>
                <w:szCs w:val="24"/>
              </w:rPr>
            </w:pPr>
            <w:r w:rsidRPr="00EE4F70">
              <w:rPr>
                <w:rFonts w:ascii="Georgia" w:hAnsi="Georgia" w:cs="Tahoma"/>
                <w:b/>
                <w:i/>
              </w:rPr>
              <w:t>Candidates use knowledge of learners to plan and implement relevant and responsive pedagogy, create collaborative and interdisciplinary learning environments, and prepare learners to be informed advocates for an inclusive and equitable society.</w:t>
            </w:r>
          </w:p>
        </w:tc>
      </w:tr>
      <w:tr w:rsidR="003146E0" w:rsidRPr="001B5771" w14:paraId="51D75CC6" w14:textId="77777777" w:rsidTr="003146E0">
        <w:trPr>
          <w:trHeight w:val="593"/>
        </w:trPr>
        <w:tc>
          <w:tcPr>
            <w:tcW w:w="1765" w:type="pct"/>
            <w:tcBorders>
              <w:bottom w:val="single" w:sz="4" w:space="0" w:color="auto"/>
            </w:tcBorders>
          </w:tcPr>
          <w:p w14:paraId="512E5519" w14:textId="77777777" w:rsidR="003146E0" w:rsidRPr="00EE4F70" w:rsidRDefault="003146E0" w:rsidP="003146E0">
            <w:pPr>
              <w:rPr>
                <w:rFonts w:ascii="Georgia" w:hAnsi="Georgia" w:cs="Tahoma"/>
              </w:rPr>
            </w:pPr>
            <w:r w:rsidRPr="00565A78">
              <w:rPr>
                <w:rFonts w:ascii="Georgia" w:hAnsi="Georgia" w:cs="Tahoma"/>
                <w:b/>
              </w:rPr>
              <w:t>4.1</w:t>
            </w:r>
            <w:r>
              <w:rPr>
                <w:rFonts w:ascii="Georgia" w:hAnsi="Georgia" w:cs="Tahoma"/>
              </w:rPr>
              <w:t xml:space="preserve"> </w:t>
            </w:r>
            <w:r w:rsidRPr="00EE4F70">
              <w:rPr>
                <w:rFonts w:ascii="Georgia" w:hAnsi="Georgia" w:cs="Tahoma"/>
              </w:rPr>
              <w:t xml:space="preserve">Candidates use knowledge of learners’ socio-cultural assets, learning demands, and individual identities to plan and implement relevant and responsive pedagogy that ensures equitable learning opportunities in social studies.  </w:t>
            </w:r>
          </w:p>
        </w:tc>
        <w:tc>
          <w:tcPr>
            <w:tcW w:w="882" w:type="pct"/>
            <w:tcBorders>
              <w:bottom w:val="single" w:sz="4" w:space="0" w:color="auto"/>
            </w:tcBorders>
          </w:tcPr>
          <w:p w14:paraId="7983902C" w14:textId="77777777" w:rsidR="003146E0" w:rsidRDefault="003146E0" w:rsidP="003146E0">
            <w:pPr>
              <w:rPr>
                <w:rFonts w:ascii="Georgia" w:hAnsi="Georgia"/>
              </w:rPr>
            </w:pPr>
          </w:p>
        </w:tc>
        <w:tc>
          <w:tcPr>
            <w:tcW w:w="2353" w:type="pct"/>
            <w:tcBorders>
              <w:bottom w:val="single" w:sz="4" w:space="0" w:color="auto"/>
            </w:tcBorders>
          </w:tcPr>
          <w:p w14:paraId="473EDDFF" w14:textId="77777777" w:rsidR="003146E0" w:rsidRDefault="003146E0" w:rsidP="003146E0">
            <w:pPr>
              <w:rPr>
                <w:rFonts w:ascii="Georgia" w:hAnsi="Georgia"/>
              </w:rPr>
            </w:pPr>
          </w:p>
        </w:tc>
      </w:tr>
      <w:tr w:rsidR="003146E0" w:rsidRPr="001B5771" w14:paraId="1609758A" w14:textId="77777777" w:rsidTr="003146E0">
        <w:trPr>
          <w:trHeight w:val="584"/>
        </w:trPr>
        <w:tc>
          <w:tcPr>
            <w:tcW w:w="1765" w:type="pct"/>
          </w:tcPr>
          <w:p w14:paraId="4E0EE94D" w14:textId="77777777" w:rsidR="003146E0" w:rsidRPr="00EE4F70" w:rsidRDefault="003146E0" w:rsidP="003146E0">
            <w:pPr>
              <w:rPr>
                <w:rFonts w:ascii="Georgia" w:hAnsi="Georgia" w:cs="Tahoma"/>
              </w:rPr>
            </w:pPr>
            <w:r w:rsidRPr="00565A78">
              <w:rPr>
                <w:rFonts w:ascii="Georgia" w:hAnsi="Georgia" w:cs="Tahoma"/>
                <w:b/>
              </w:rPr>
              <w:lastRenderedPageBreak/>
              <w:t>4.2</w:t>
            </w:r>
            <w:r>
              <w:rPr>
                <w:rFonts w:ascii="Georgia" w:hAnsi="Georgia" w:cs="Tahoma"/>
              </w:rPr>
              <w:t xml:space="preserve"> </w:t>
            </w:r>
            <w:r w:rsidRPr="00EE4F70">
              <w:rPr>
                <w:rFonts w:ascii="Georgia" w:hAnsi="Georgia" w:cs="Tahoma"/>
              </w:rPr>
              <w:t>Candidates facilitate collaborative, interdisciplinary learning environments in which learners use disciplinary facts, concepts, and tools, engage in disciplinary inquiry, and create disciplinary forms of representation.</w:t>
            </w:r>
          </w:p>
        </w:tc>
        <w:tc>
          <w:tcPr>
            <w:tcW w:w="882" w:type="pct"/>
          </w:tcPr>
          <w:p w14:paraId="2D1912DB" w14:textId="77777777" w:rsidR="003146E0" w:rsidRDefault="003146E0" w:rsidP="003146E0">
            <w:pPr>
              <w:jc w:val="both"/>
              <w:rPr>
                <w:rFonts w:ascii="Georgia" w:hAnsi="Georgia"/>
                <w:bCs/>
              </w:rPr>
            </w:pPr>
          </w:p>
        </w:tc>
        <w:tc>
          <w:tcPr>
            <w:tcW w:w="2353" w:type="pct"/>
          </w:tcPr>
          <w:p w14:paraId="35F513E8" w14:textId="77777777" w:rsidR="003146E0" w:rsidRDefault="003146E0" w:rsidP="003146E0">
            <w:pPr>
              <w:jc w:val="both"/>
              <w:rPr>
                <w:rFonts w:ascii="Georgia" w:hAnsi="Georgia"/>
                <w:bCs/>
              </w:rPr>
            </w:pPr>
          </w:p>
        </w:tc>
      </w:tr>
      <w:tr w:rsidR="003146E0" w:rsidRPr="001B5771" w14:paraId="2B5A7942" w14:textId="77777777" w:rsidTr="003146E0">
        <w:trPr>
          <w:trHeight w:val="584"/>
        </w:trPr>
        <w:tc>
          <w:tcPr>
            <w:tcW w:w="1765" w:type="pct"/>
          </w:tcPr>
          <w:p w14:paraId="03EEE2D6" w14:textId="77777777" w:rsidR="003146E0" w:rsidRPr="00EE4F70" w:rsidRDefault="003146E0" w:rsidP="003146E0">
            <w:pPr>
              <w:rPr>
                <w:rFonts w:ascii="Georgia" w:hAnsi="Georgia" w:cs="Tahoma"/>
              </w:rPr>
            </w:pPr>
            <w:r w:rsidRPr="00565A78">
              <w:rPr>
                <w:rFonts w:ascii="Georgia" w:hAnsi="Georgia" w:cs="Tahoma"/>
                <w:b/>
              </w:rPr>
              <w:t>4.3</w:t>
            </w:r>
            <w:r>
              <w:rPr>
                <w:rFonts w:ascii="Georgia" w:hAnsi="Georgia" w:cs="Tahoma"/>
              </w:rPr>
              <w:t xml:space="preserve"> </w:t>
            </w:r>
            <w:r w:rsidRPr="00EE4F70">
              <w:rPr>
                <w:rFonts w:ascii="Georgia" w:hAnsi="Georgia" w:cs="Tahoma"/>
              </w:rPr>
              <w:t>Candidates engage learners in ethical reasoning to deliberate social, political, and economic issues, communicate conclusions, and take informed action toward achieving a more inclusive and equitable society.</w:t>
            </w:r>
          </w:p>
        </w:tc>
        <w:tc>
          <w:tcPr>
            <w:tcW w:w="882" w:type="pct"/>
          </w:tcPr>
          <w:p w14:paraId="7E80EBF4" w14:textId="77777777" w:rsidR="003146E0" w:rsidRDefault="003146E0" w:rsidP="003146E0">
            <w:pPr>
              <w:rPr>
                <w:rFonts w:ascii="Georgia" w:hAnsi="Georgia"/>
              </w:rPr>
            </w:pPr>
          </w:p>
        </w:tc>
        <w:tc>
          <w:tcPr>
            <w:tcW w:w="2353" w:type="pct"/>
          </w:tcPr>
          <w:p w14:paraId="32E8E308" w14:textId="77777777" w:rsidR="003146E0" w:rsidRDefault="003146E0" w:rsidP="003146E0">
            <w:pPr>
              <w:rPr>
                <w:rFonts w:ascii="Georgia" w:hAnsi="Georgia"/>
              </w:rPr>
            </w:pPr>
          </w:p>
        </w:tc>
      </w:tr>
      <w:tr w:rsidR="003146E0" w:rsidRPr="001B5771" w14:paraId="0FA5EEFA" w14:textId="77777777" w:rsidTr="003146E0">
        <w:trPr>
          <w:trHeight w:val="863"/>
        </w:trPr>
        <w:tc>
          <w:tcPr>
            <w:tcW w:w="5000" w:type="pct"/>
            <w:gridSpan w:val="3"/>
            <w:shd w:val="clear" w:color="auto" w:fill="BDD6EE" w:themeFill="accent1" w:themeFillTint="66"/>
          </w:tcPr>
          <w:p w14:paraId="48EA9A2A" w14:textId="77777777" w:rsidR="003146E0" w:rsidRPr="003146E0" w:rsidRDefault="003146E0" w:rsidP="003146E0">
            <w:pPr>
              <w:pStyle w:val="NoSpacing"/>
              <w:rPr>
                <w:rFonts w:ascii="Georgia" w:hAnsi="Georgia"/>
                <w:b/>
                <w:i/>
              </w:rPr>
            </w:pPr>
            <w:r w:rsidRPr="003146E0">
              <w:rPr>
                <w:rFonts w:ascii="Georgia" w:hAnsi="Georgia"/>
                <w:b/>
                <w:i/>
              </w:rPr>
              <w:t>Standard 5. Professional Responsibility and Informed Action</w:t>
            </w:r>
          </w:p>
          <w:p w14:paraId="6B291825" w14:textId="77777777" w:rsidR="003146E0" w:rsidRPr="003146E0" w:rsidRDefault="003146E0" w:rsidP="003146E0">
            <w:pPr>
              <w:pStyle w:val="NoSpacing"/>
              <w:rPr>
                <w:rFonts w:ascii="Georgia" w:hAnsi="Georgia"/>
                <w:b/>
                <w:i/>
              </w:rPr>
            </w:pPr>
          </w:p>
          <w:p w14:paraId="229029F2" w14:textId="77777777" w:rsidR="003146E0" w:rsidRPr="003146E0" w:rsidRDefault="003146E0" w:rsidP="003146E0">
            <w:pPr>
              <w:pStyle w:val="NoSpacing"/>
              <w:rPr>
                <w:rFonts w:ascii="Georgia" w:hAnsi="Georgia"/>
              </w:rPr>
            </w:pPr>
            <w:r w:rsidRPr="003146E0">
              <w:rPr>
                <w:rFonts w:ascii="Georgia" w:hAnsi="Georgia"/>
                <w:b/>
                <w:i/>
              </w:rPr>
              <w:t>Candidates reflect and expand upon their social studies knowledge, inquiry skills, and civic dispositions to advance social justice and promote human rights through informed action in schools and/or communities.</w:t>
            </w:r>
          </w:p>
        </w:tc>
      </w:tr>
      <w:tr w:rsidR="003146E0" w:rsidRPr="001B5771" w14:paraId="2CBCFBB9" w14:textId="77777777" w:rsidTr="003146E0">
        <w:trPr>
          <w:trHeight w:val="863"/>
        </w:trPr>
        <w:tc>
          <w:tcPr>
            <w:tcW w:w="1765" w:type="pct"/>
          </w:tcPr>
          <w:p w14:paraId="6BCD99ED" w14:textId="77777777" w:rsidR="003146E0" w:rsidRPr="003146E0" w:rsidRDefault="003146E0" w:rsidP="003146E0">
            <w:pPr>
              <w:rPr>
                <w:rFonts w:ascii="Georgia" w:hAnsi="Georgia" w:cs="Tahoma"/>
              </w:rPr>
            </w:pPr>
            <w:r w:rsidRPr="003146E0">
              <w:rPr>
                <w:rFonts w:ascii="Georgia" w:hAnsi="Georgia" w:cs="Tahoma"/>
                <w:b/>
              </w:rPr>
              <w:t>5.1</w:t>
            </w:r>
            <w:r w:rsidRPr="003146E0">
              <w:rPr>
                <w:rFonts w:ascii="Georgia" w:hAnsi="Georgia" w:cs="Tahoma"/>
              </w:rPr>
              <w:t xml:space="preserve"> Candidates use theory and research to continually improve their social studies knowledge, inquiry skills, and civic dispositions, and adapt practice to meet the needs of each learner.</w:t>
            </w:r>
          </w:p>
        </w:tc>
        <w:tc>
          <w:tcPr>
            <w:tcW w:w="882" w:type="pct"/>
          </w:tcPr>
          <w:p w14:paraId="49970046" w14:textId="77777777" w:rsidR="003146E0" w:rsidRDefault="003146E0" w:rsidP="003146E0">
            <w:pPr>
              <w:jc w:val="both"/>
              <w:rPr>
                <w:rFonts w:ascii="Georgia" w:hAnsi="Georgia"/>
              </w:rPr>
            </w:pPr>
          </w:p>
        </w:tc>
        <w:tc>
          <w:tcPr>
            <w:tcW w:w="2353" w:type="pct"/>
          </w:tcPr>
          <w:p w14:paraId="40F25BEA" w14:textId="77777777" w:rsidR="003146E0" w:rsidRDefault="003146E0" w:rsidP="003146E0">
            <w:pPr>
              <w:jc w:val="both"/>
              <w:rPr>
                <w:rFonts w:ascii="Georgia" w:hAnsi="Georgia"/>
              </w:rPr>
            </w:pPr>
          </w:p>
        </w:tc>
      </w:tr>
      <w:tr w:rsidR="003146E0" w:rsidRPr="001B5771" w14:paraId="5477A015" w14:textId="77777777" w:rsidTr="003146E0">
        <w:trPr>
          <w:trHeight w:val="863"/>
        </w:trPr>
        <w:tc>
          <w:tcPr>
            <w:tcW w:w="1765" w:type="pct"/>
          </w:tcPr>
          <w:p w14:paraId="6911A845" w14:textId="77777777" w:rsidR="003146E0" w:rsidRPr="003146E0" w:rsidRDefault="003146E0" w:rsidP="003146E0">
            <w:pPr>
              <w:rPr>
                <w:rFonts w:ascii="Georgia" w:hAnsi="Georgia" w:cs="Tahoma"/>
              </w:rPr>
            </w:pPr>
            <w:r w:rsidRPr="003146E0">
              <w:rPr>
                <w:rFonts w:ascii="Georgia" w:hAnsi="Georgia" w:cs="Tahoma"/>
                <w:b/>
              </w:rPr>
              <w:t>5.2</w:t>
            </w:r>
            <w:r w:rsidRPr="003146E0">
              <w:rPr>
                <w:rFonts w:ascii="Georgia" w:hAnsi="Georgia" w:cs="Tahoma"/>
              </w:rPr>
              <w:t xml:space="preserve"> Candidates explore, interrogate, and reflect upon their own cultural frames to attend to issues of equity, diversity, access, power, human rights, and social justice within their schools and/or communities</w:t>
            </w:r>
          </w:p>
        </w:tc>
        <w:tc>
          <w:tcPr>
            <w:tcW w:w="882" w:type="pct"/>
          </w:tcPr>
          <w:p w14:paraId="65714484" w14:textId="77777777" w:rsidR="003146E0" w:rsidRDefault="003146E0" w:rsidP="003146E0">
            <w:pPr>
              <w:jc w:val="both"/>
              <w:rPr>
                <w:rFonts w:ascii="Georgia" w:hAnsi="Georgia"/>
              </w:rPr>
            </w:pPr>
          </w:p>
        </w:tc>
        <w:tc>
          <w:tcPr>
            <w:tcW w:w="2353" w:type="pct"/>
          </w:tcPr>
          <w:p w14:paraId="455E79E8" w14:textId="77777777" w:rsidR="003146E0" w:rsidRDefault="003146E0" w:rsidP="003146E0">
            <w:pPr>
              <w:jc w:val="both"/>
              <w:rPr>
                <w:rFonts w:ascii="Georgia" w:hAnsi="Georgia"/>
              </w:rPr>
            </w:pPr>
          </w:p>
        </w:tc>
      </w:tr>
      <w:tr w:rsidR="003146E0" w:rsidRPr="001B5771" w14:paraId="08366ED9" w14:textId="77777777" w:rsidTr="003146E0">
        <w:trPr>
          <w:trHeight w:val="863"/>
        </w:trPr>
        <w:tc>
          <w:tcPr>
            <w:tcW w:w="1765" w:type="pct"/>
          </w:tcPr>
          <w:p w14:paraId="0C452790" w14:textId="77777777" w:rsidR="003146E0" w:rsidRPr="00EE4F70" w:rsidRDefault="003146E0" w:rsidP="003146E0">
            <w:pPr>
              <w:rPr>
                <w:rFonts w:ascii="Georgia" w:hAnsi="Georgia" w:cs="Tahoma"/>
              </w:rPr>
            </w:pPr>
            <w:r w:rsidRPr="00565A78">
              <w:rPr>
                <w:rFonts w:ascii="Georgia" w:hAnsi="Georgia" w:cs="Tahoma"/>
                <w:b/>
              </w:rPr>
              <w:t>5.3</w:t>
            </w:r>
            <w:r w:rsidRPr="00EE4F70">
              <w:rPr>
                <w:rFonts w:ascii="Georgia" w:hAnsi="Georgia" w:cs="Tahoma"/>
              </w:rPr>
              <w:t xml:space="preserve"> Candidates take informed action in schools and/or communities and serve as advocates for learners, the teaching profession, and/or social studies.  </w:t>
            </w:r>
          </w:p>
        </w:tc>
        <w:tc>
          <w:tcPr>
            <w:tcW w:w="882" w:type="pct"/>
          </w:tcPr>
          <w:p w14:paraId="540B824C" w14:textId="77777777" w:rsidR="003146E0" w:rsidRDefault="003146E0" w:rsidP="003146E0">
            <w:pPr>
              <w:jc w:val="both"/>
              <w:rPr>
                <w:rFonts w:ascii="Georgia" w:hAnsi="Georgia"/>
              </w:rPr>
            </w:pPr>
          </w:p>
        </w:tc>
        <w:tc>
          <w:tcPr>
            <w:tcW w:w="2353" w:type="pct"/>
          </w:tcPr>
          <w:p w14:paraId="58928648" w14:textId="77777777" w:rsidR="003146E0" w:rsidRDefault="003146E0" w:rsidP="003146E0">
            <w:pPr>
              <w:jc w:val="both"/>
              <w:rPr>
                <w:rFonts w:ascii="Georgia" w:hAnsi="Georgia"/>
              </w:rPr>
            </w:pPr>
          </w:p>
        </w:tc>
      </w:tr>
    </w:tbl>
    <w:p w14:paraId="2B472385"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15F5" w14:textId="77777777" w:rsidR="00AC063E" w:rsidRDefault="00AC063E" w:rsidP="00B75847">
      <w:pPr>
        <w:spacing w:after="0" w:line="240" w:lineRule="auto"/>
      </w:pPr>
      <w:r>
        <w:separator/>
      </w:r>
    </w:p>
  </w:endnote>
  <w:endnote w:type="continuationSeparator" w:id="0">
    <w:p w14:paraId="3760EBCB"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12BAD2CF" w14:textId="77777777" w:rsidR="00BF02F8" w:rsidRDefault="00BF02F8">
        <w:pPr>
          <w:pStyle w:val="Footer"/>
          <w:jc w:val="right"/>
        </w:pPr>
        <w:r>
          <w:fldChar w:fldCharType="begin"/>
        </w:r>
        <w:r>
          <w:instrText xml:space="preserve"> PAGE   \* MERGEFORMAT </w:instrText>
        </w:r>
        <w:r>
          <w:fldChar w:fldCharType="separate"/>
        </w:r>
        <w:r w:rsidR="003146E0">
          <w:rPr>
            <w:noProof/>
          </w:rPr>
          <w:t>4</w:t>
        </w:r>
        <w:r>
          <w:rPr>
            <w:noProof/>
          </w:rPr>
          <w:fldChar w:fldCharType="end"/>
        </w:r>
      </w:p>
    </w:sdtContent>
  </w:sdt>
  <w:p w14:paraId="24361B8E"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BDF2" w14:textId="77777777" w:rsidR="00AC063E" w:rsidRDefault="00AC063E" w:rsidP="00B75847">
      <w:pPr>
        <w:spacing w:after="0" w:line="240" w:lineRule="auto"/>
      </w:pPr>
      <w:r>
        <w:separator/>
      </w:r>
    </w:p>
  </w:footnote>
  <w:footnote w:type="continuationSeparator" w:id="0">
    <w:p w14:paraId="0370359E"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B084" w14:textId="77777777" w:rsidR="0097555E" w:rsidRPr="0097555E" w:rsidRDefault="0097555E">
    <w:pPr>
      <w:pStyle w:val="Header"/>
      <w:jc w:val="center"/>
      <w:rPr>
        <w:sz w:val="40"/>
        <w:szCs w:val="40"/>
      </w:rPr>
    </w:pPr>
  </w:p>
  <w:p w14:paraId="12DC916C"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146E0"/>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6CA"/>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6771"/>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2021-12-09T20:24:00Z</dcterms:modified>
</cp:coreProperties>
</file>